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8389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83893" w:rsidRDefault="0070628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83893" w:rsidRDefault="0070628D">
            <w:pPr>
              <w:spacing w:after="0" w:line="240" w:lineRule="auto"/>
            </w:pPr>
            <w:r>
              <w:t>8301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83893" w:rsidRDefault="0070628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83893" w:rsidRDefault="0070628D">
            <w:pPr>
              <w:spacing w:after="0" w:line="240" w:lineRule="auto"/>
            </w:pPr>
            <w:r>
              <w:t>OSNOVNA ŠKOLA VLADIMIRA NAZORA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83893" w:rsidRDefault="0070628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83893" w:rsidRDefault="0070628D">
            <w:pPr>
              <w:spacing w:after="0" w:line="240" w:lineRule="auto"/>
            </w:pPr>
            <w:r>
              <w:t>31</w:t>
            </w:r>
          </w:p>
        </w:tc>
      </w:tr>
    </w:tbl>
    <w:p w:rsidR="00183893" w:rsidRDefault="0070628D">
      <w:r>
        <w:br/>
      </w:r>
    </w:p>
    <w:p w:rsidR="00183893" w:rsidRDefault="0070628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83893" w:rsidRDefault="0070628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83893" w:rsidRDefault="0070628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3.056.255,63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3.274.344,54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2.944.654,52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3.537.648,32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1838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263.303,78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177.022,52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46.174,16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26,1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1838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171.222,52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46.174,16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27,0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36.368,58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12.210,52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6.647,86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54,4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1838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6.647,86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1838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35.463,35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316.125,80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891,4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rPr>
          <w:b/>
        </w:rPr>
        <w:t>Bilješka kod Y001</w:t>
      </w:r>
      <w:r>
        <w:t xml:space="preserve"> - nedostatak poslovnog prihoda odnosi se na način knjiženja plaća od 1.1.2025. te su i plaća i materijalna prava proknjiženi na rashod, a nemamo prihod.  </w:t>
      </w:r>
      <w:r>
        <w:rPr>
          <w:b/>
        </w:rPr>
        <w:t>Bilješka kod Y002</w:t>
      </w:r>
      <w:r>
        <w:t xml:space="preserve"> - nedostatak prihoda od nefinancijske imovine odnosi se na nabavu nefinancijske imo</w:t>
      </w:r>
      <w:r>
        <w:t xml:space="preserve">vine koja je kupljena prema financijskom planu iz sredstava </w:t>
      </w:r>
      <w:proofErr w:type="spellStart"/>
      <w:r>
        <w:t>Erasmus</w:t>
      </w:r>
      <w:proofErr w:type="spellEnd"/>
      <w:r>
        <w:t xml:space="preserve"> projekta 2.799,80 € za pametnu ploču, 2 računala za potrebe nastave u iznosu 635,00 € iz vlastitih sredstava.  Dvije zelene ploče u iznosu 1.716,25 € iz vlastitih sredstava. 16 komada klim</w:t>
      </w:r>
      <w:r>
        <w:t xml:space="preserve">a uređaja iz sredstava Grada Daruvara iz prošle godine u iznosu 15.000,00 € i iz vlastitih sredstava u </w:t>
      </w:r>
      <w:r>
        <w:lastRenderedPageBreak/>
        <w:t xml:space="preserve">iznosu 8.145,00 € za PŠ </w:t>
      </w:r>
      <w:proofErr w:type="spellStart"/>
      <w:r>
        <w:t>Frankopansku</w:t>
      </w:r>
      <w:proofErr w:type="spellEnd"/>
      <w:r>
        <w:t xml:space="preserve"> €. Strojevi za šivanje 3 komada iz sredstava za rad s darovitim učenicima iz prošle godine 1.111,58 € i perilica rub</w:t>
      </w:r>
      <w:r>
        <w:t xml:space="preserve">lja za školsku kuhinju u PŠ </w:t>
      </w:r>
      <w:proofErr w:type="spellStart"/>
      <w:r>
        <w:t>Frankopanskoj</w:t>
      </w:r>
      <w:proofErr w:type="spellEnd"/>
      <w:r>
        <w:t xml:space="preserve"> iz vlastitih sredstava 398,05 €. Knjige za knjižnicu iz sredstava preventivnog programa 398,22 €, iz sredstava Županije 1.901,73 €, iz sredstava Ministarstva 1.105,00 € , iz vlastitih sredstava 86,93 € i udžbenici </w:t>
      </w:r>
      <w:r>
        <w:t xml:space="preserve">u iznosu 12.876,60 €. </w:t>
      </w:r>
      <w:r>
        <w:rPr>
          <w:b/>
        </w:rPr>
        <w:t>Bilješka kod Y003</w:t>
      </w:r>
      <w:r>
        <w:t xml:space="preserve"> - manjak od financijske imovine  i zaduživanja odnosi se na </w:t>
      </w:r>
      <w:proofErr w:type="spellStart"/>
      <w:r>
        <w:t>leasing</w:t>
      </w:r>
      <w:proofErr w:type="spellEnd"/>
      <w:r>
        <w:t xml:space="preserve"> za kombi vozilo - otplata rata u iznosu 6.647,86 €. </w:t>
      </w:r>
      <w:proofErr w:type="spellStart"/>
      <w:r>
        <w:t>Leasing</w:t>
      </w:r>
      <w:proofErr w:type="spellEnd"/>
      <w:r>
        <w:t xml:space="preserve"> je ugovoren 2024. godine na 60 rata. </w:t>
      </w:r>
      <w:r>
        <w:rPr>
          <w:b/>
        </w:rPr>
        <w:t>Bilješka kod Y005</w:t>
      </w:r>
      <w:r>
        <w:t xml:space="preserve"> - nedostatak prihoda i primitaka </w:t>
      </w:r>
      <w:r>
        <w:t>odnosi se na manjak od Županije za redovno poslovanje i plaću pomoćnika u nastavi 8.168,95 €, višak prihoda od školske kuhinje 4.373,75 €, višak prihoda za voditelje stručnih vijeća 136,02 €, višak prihoda od učenika - refundacija za udžbenike 10,25 €, viš</w:t>
      </w:r>
      <w:r>
        <w:t>ak prihoda od donacija 169,64 €, manjak prihoda na učeničkoj zadruzi 25,00 €, višak prihoda od stanarina 1.061,61 €, manjak prihoda od najma prostora 2.183,71 €, manjak prihoda od najma dvorana 9.170,93 €, manjak prihoda od Ministarstva 236.202,06 €, manja</w:t>
      </w:r>
      <w:r>
        <w:t xml:space="preserve">k prihoda od produženog boravka 6.609,31 €, manjak prihoda od udžbenika 219,39 €, višak prihoda od </w:t>
      </w:r>
      <w:proofErr w:type="spellStart"/>
      <w:r>
        <w:t>Erasmus</w:t>
      </w:r>
      <w:proofErr w:type="spellEnd"/>
      <w:r>
        <w:t xml:space="preserve"> projekata iz prošlih godina 645,40 €, manjak prihoda </w:t>
      </w:r>
      <w:proofErr w:type="spellStart"/>
      <w:r>
        <w:t>Erasmus</w:t>
      </w:r>
      <w:proofErr w:type="spellEnd"/>
      <w:r>
        <w:t xml:space="preserve"> projekta ove godine 36.846,94 €, manjak prihoda preventivnog projekta 500,97 € i manjak </w:t>
      </w:r>
      <w:r>
        <w:t xml:space="preserve">prihoda za </w:t>
      </w:r>
      <w:proofErr w:type="spellStart"/>
      <w:r>
        <w:t>psihodijagnostička</w:t>
      </w:r>
      <w:proofErr w:type="spellEnd"/>
      <w:r>
        <w:t xml:space="preserve"> sredstva 1.437,00 €, manjak prihoda za klima uređaje 19.883,86 €, manjak prihoda za izvannastavna sredstva 1.274,35 €. Do manjka ove godine došlo je zbog novog načina knjiženja plaća te su sve plaće za 12/25 i materijalna prav</w:t>
      </w:r>
      <w:r>
        <w:t xml:space="preserve">a knjižene na rashod. Učenička zadruga ima višak prihoda iz prošlih godina koji koristi za plaćanje članarine. Najam prostora i najam dvorana također je u minusu imamo višak iz prošlih godina koji smo ove godine trošili za nabavu opreme i rashode redovnog </w:t>
      </w:r>
      <w:r>
        <w:t xml:space="preserve">poslovanja. Kod udžbenika smo imali višak prihoda od refundacije učenika za udžbenike te smo za iznos manjka tražili manje prihoda od Ministarstva.  Preventivni projekti, </w:t>
      </w:r>
      <w:proofErr w:type="spellStart"/>
      <w:r>
        <w:t>psihodijagnostička</w:t>
      </w:r>
      <w:proofErr w:type="spellEnd"/>
      <w:r>
        <w:t xml:space="preserve"> sredstva, izvannastavna sredstva sve nam to Ministarstvo doznači z</w:t>
      </w:r>
      <w:r>
        <w:t xml:space="preserve">adnjih dana financijske godine te imamo višak iz prošle godine koji je pokriće manjku iz ove godine. Klima uređaje kupili smo također iz viška prihoda prošle godine. </w:t>
      </w:r>
      <w:proofErr w:type="spellStart"/>
      <w:r>
        <w:t>Erasmus</w:t>
      </w:r>
      <w:proofErr w:type="spellEnd"/>
      <w:r>
        <w:t xml:space="preserve"> projekt ima manjak jer je ove godine način knjiženja drugačiji. Ne knjiži se priho</w:t>
      </w:r>
      <w:r>
        <w:t>d već obveza.</w:t>
      </w:r>
    </w:p>
    <w:p w:rsidR="00183893" w:rsidRDefault="0070628D">
      <w:r>
        <w:t> </w:t>
      </w:r>
    </w:p>
    <w:p w:rsidR="00183893" w:rsidRDefault="0070628D">
      <w:r>
        <w:br/>
      </w:r>
    </w:p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51,0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Donacije fizičkih osoba za financiranje izleta učenika slabijeg imovinskog stanja.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38.731,65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4,9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Prihod Županije za nabavku knjiga za lektiru.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izdataka za financijsku imovinu i otplatu zajmova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6.617,53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56,7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 xml:space="preserve">Prihod Županije za otplatu rata kredita - glavnice za financijski </w:t>
      </w:r>
      <w:proofErr w:type="spellStart"/>
      <w:r>
        <w:t>leasing</w:t>
      </w:r>
      <w:proofErr w:type="spellEnd"/>
      <w:r>
        <w:t>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897,9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Prihod fizičke osobe za nepravovremeno plaćeni račun 12,63 € i prihod od sportske zajednice za financiranje Sportskih praznika 339,97 €.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2.510.225,30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3.079.211,69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Temeljem Pravilnika o proračunskom računovodstvu i računskom planu koji se primjenjuje od 1.1.2025. godine plaća se više ne knjiži na aktivna vremenska razgraničenja (193-kontinuirani rashodi budućih razdoblja) već na rashod (3). Zbog toga su velika odstup</w:t>
      </w:r>
      <w:r>
        <w:t>anja u odnosu na prošlu godinu. 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64,4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Reprezentacija se odnosi na stručne skupove koje organiziraju voditelji županijskih stručnih vijeća i piće za Dan škole i Božić.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zajmove od trgovačkih društava i obrtnika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208,5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 xml:space="preserve">Kamate za </w:t>
      </w:r>
      <w:proofErr w:type="spellStart"/>
      <w:r>
        <w:t>leasing</w:t>
      </w:r>
      <w:proofErr w:type="spellEnd"/>
      <w:r>
        <w:t xml:space="preserve"> kombi vozila 6 - 17 rata.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139,2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 xml:space="preserve">Zatezne kamate odnose se na kamate iz poslovnih odnosa , greškom nije plaćen ukupan račun za ratu </w:t>
      </w:r>
      <w:proofErr w:type="spellStart"/>
      <w:r>
        <w:t>leasinga</w:t>
      </w:r>
      <w:proofErr w:type="spellEnd"/>
      <w:r>
        <w:t>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Porez na nekretnine za stan u PŠ Gornji Daruvar.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29.909,93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29.707,40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99,3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Radni udžbenici za učenike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98,4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 xml:space="preserve">Menstrualne i </w:t>
      </w:r>
      <w:proofErr w:type="spellStart"/>
      <w:r>
        <w:t>higjenske</w:t>
      </w:r>
      <w:proofErr w:type="spellEnd"/>
      <w:r>
        <w:t xml:space="preserve"> </w:t>
      </w:r>
      <w:proofErr w:type="spellStart"/>
      <w:r>
        <w:t>potreštine</w:t>
      </w:r>
      <w:proofErr w:type="spellEnd"/>
      <w:r>
        <w:t xml:space="preserve"> za učenice u iznosu 1.201,08 €.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5.491,70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290.295,57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5286,1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Veliko povećanje obračunatih prihoda poslovanja - nenaplaćenih odnosi se na knjiženja potraživanja za plaće od Ministarstva i Grada Daruvara, a u provedbi su od 1.12025. godine.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68.451,83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7,5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 xml:space="preserve">Pametna ploča kupljena iz sredstava </w:t>
      </w:r>
      <w:proofErr w:type="spellStart"/>
      <w:r>
        <w:t>Erasmus</w:t>
      </w:r>
      <w:proofErr w:type="spellEnd"/>
      <w:r>
        <w:t>+ projekta 2.799,80 €, 2 računala za nastavnike 635,00 € i 2 školske ploče zelene iz vlastitih sredstava.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Klima uređaji 16 komada iz vlastitih sredstava i sredstava Grada Daruvara iz prošle godine.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100,6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 xml:space="preserve">Strojevi za šivanje 3 komada iz sredstava za rad s darovitim učenicima iz prošle godine 1.111,58 € i perilica rublja za školsku kuhinju u PŠ </w:t>
      </w:r>
      <w:proofErr w:type="spellStart"/>
      <w:r>
        <w:t>Frankopanskoj</w:t>
      </w:r>
      <w:proofErr w:type="spellEnd"/>
      <w:r>
        <w:t xml:space="preserve"> iz vlastitih sredstava 398,05 €.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29.227,30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16.368,48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56,0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Knjige za knjižnicu iz sredstava preventivnog programa 398,22 €, iz sredstava Županije 1.901,73 € iz sredstava Ministarstva 1.105,00 € i iz vlastitih sredstava 86,93 €. Udžbenici za učenike 12,876,60 €.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12.210,52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6.647,86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54,4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 xml:space="preserve">Ugovor o financijskom </w:t>
      </w:r>
      <w:proofErr w:type="spellStart"/>
      <w:r>
        <w:t>leasingu</w:t>
      </w:r>
      <w:proofErr w:type="spellEnd"/>
      <w:r>
        <w:t xml:space="preserve"> sklopljen na 5 godine od 2024. do 8.8.2029. godine za kombi vozilo Renault. Otplata glavnice primljenih kredita 6.-17. rata.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primitaka od 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35.830,88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 xml:space="preserve">Višak primitaka od financijske imovine - preneseni odnosi se na financijski </w:t>
      </w:r>
      <w:proofErr w:type="spellStart"/>
      <w:r>
        <w:t>leasing</w:t>
      </w:r>
      <w:proofErr w:type="spellEnd"/>
      <w:r>
        <w:t xml:space="preserve"> za kupovinu kombi vozila.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1838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Y005 + '9222-9221' - </w:t>
            </w:r>
            <w:r>
              <w:rPr>
                <w:sz w:val="18"/>
              </w:rPr>
              <w:t>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282.146,80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Rezultat poslovanja s prenesenim viškovima i manjkovima iz prošle godine odnosi se na manjak na školskoj kuhinji jer na refundacije dolaze nakon isteka mjeseca 8.385,86 €, manjak na Županiji 17.419,89 €, manjak na sredstvima Ministarstva 236.433,29 €. Viša</w:t>
      </w:r>
      <w:r>
        <w:t>k od otplate stana 351,87 €, višak za voditelje stručnih vijeća 27,35 €, višak na humanitarnoj skupini za izlete učenika 463,46 €, višak od donacija 7.200,02 €, višak na učeničkoj zadruzi 188,83 €, višak od stanarina 1.569,37 €, višak na produženom boravku</w:t>
      </w:r>
      <w:r>
        <w:t xml:space="preserve"> 728,39 €, višak od udžbenika 40,21 €, višak od prošlih </w:t>
      </w:r>
      <w:proofErr w:type="spellStart"/>
      <w:r>
        <w:t>Erasmus</w:t>
      </w:r>
      <w:proofErr w:type="spellEnd"/>
      <w:r>
        <w:t xml:space="preserve">+ projekata 6.369,68 € i manjak na ovogodišnjem </w:t>
      </w:r>
      <w:proofErr w:type="spellStart"/>
      <w:r>
        <w:t>Erasmus</w:t>
      </w:r>
      <w:proofErr w:type="spellEnd"/>
      <w:r>
        <w:t>+ projektu 36.846,94 €. 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59.868,47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Račun škole zatvoren je s 29.1.2025. godine do 30.1.2025. godine prešli smo na poslovanje preko jedinstvenog računa Bjelovarsko-bilogorske županije.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248.447,85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Potraživanja se odnose na plaće za 12/25 i materijalna prava od Ministarstva i Grada Daruvara za zaposlene u produženom boravku.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52.921,99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Škola od 30.1. ove godine posluje preko jedinstvenog računa Županije.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Ispravak vrijednosti potraživanja odnosi se na neplaćene račune za prehranu učenika u školskoj kuhinji. Besplatna prehrana učenika počela je 1.1.2023. godine te je većina duga više od 3 godine, samo zadnji računi za prosinac 2022. godine nisu 100% iznosu k</w:t>
      </w:r>
      <w:r>
        <w:t>njiženi kao ispravak vrijednosti potraživanja. Imamo i ispravak vrijednosti potraživanja za boravak u produženom boravku za koje je ispravak napravljen 50%. Roditelji za tri učenika nisu refundirali trošak nevraćenih udžbenika te je i za njih napravljen is</w:t>
      </w:r>
      <w:r>
        <w:t>pravak vrijednosti potraživanja.</w:t>
      </w:r>
    </w:p>
    <w:p w:rsidR="00183893" w:rsidRDefault="0070628D">
      <w:r>
        <w:t> 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51.163,87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717,4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Obveze za predujmove EU u iznosu od 41.716,00 € i obveze za bolovanje na teret HZZO-a 9.447,87 €.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125.090,02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217.853,37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174,2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 xml:space="preserve">Povećanje </w:t>
      </w:r>
      <w:proofErr w:type="spellStart"/>
      <w:r>
        <w:t>izvanbilančne</w:t>
      </w:r>
      <w:proofErr w:type="spellEnd"/>
      <w:r>
        <w:t xml:space="preserve"> evidencije odnosi se na mjenice za kombi kupljen na </w:t>
      </w:r>
      <w:proofErr w:type="spellStart"/>
      <w:r>
        <w:t>leasing</w:t>
      </w:r>
      <w:proofErr w:type="spellEnd"/>
      <w:r>
        <w:t xml:space="preserve">: 36.368,58 € - dana mjenica i 4.249,77 € primljena mjenica. Ukupni iznos po ugovoru za </w:t>
      </w:r>
      <w:proofErr w:type="spellStart"/>
      <w:r>
        <w:t>Erasmus</w:t>
      </w:r>
      <w:proofErr w:type="spellEnd"/>
      <w:r>
        <w:t>+ projekt iznosi 52.145,00 €.</w:t>
      </w:r>
    </w:p>
    <w:p w:rsidR="00183893" w:rsidRDefault="0070628D">
      <w:r>
        <w:t>, 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52.921,99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Škola od veljače ove godine posluje preko jedinstvenog računa Županije.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1838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165.442,79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Smanjenje vrijednosti nefinancijske imovine u iznosu 165.442,79 € odnosi se na obračunatu amortizaciju u 2025. godini.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8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8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1838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</w:t>
            </w:r>
            <w:r>
              <w:rPr>
                <w:sz w:val="18"/>
              </w:rPr>
              <w:t>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83893" w:rsidRDefault="007062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83893" w:rsidRDefault="00183893">
      <w:pPr>
        <w:spacing w:after="0"/>
      </w:pPr>
    </w:p>
    <w:p w:rsidR="00183893" w:rsidRDefault="0070628D">
      <w:r>
        <w:t>Stanje dospjelih obveza u iznosu od 123,23 € odnosi se na ulazni račun 466, čija je valuta bila 30.12.2025., a koji je primljen u 2026. godini.</w:t>
      </w:r>
    </w:p>
    <w:p w:rsidR="00183893" w:rsidRDefault="00183893"/>
    <w:p w:rsidR="00183893" w:rsidRDefault="0070628D">
      <w:pPr>
        <w:keepNext/>
        <w:spacing w:line="240" w:lineRule="auto"/>
        <w:jc w:val="center"/>
      </w:pPr>
      <w:r>
        <w:rPr>
          <w:sz w:val="28"/>
        </w:rPr>
        <w:t>Bilješka 30.</w:t>
      </w:r>
    </w:p>
    <w:p w:rsidR="00183893" w:rsidRDefault="0070628D">
      <w:pPr>
        <w:spacing w:line="240" w:lineRule="auto"/>
        <w:jc w:val="both"/>
      </w:pPr>
      <w:r>
        <w:rPr>
          <w:b/>
        </w:rPr>
        <w:t>EU izvještaj</w:t>
      </w:r>
    </w:p>
    <w:p w:rsidR="00183893" w:rsidRDefault="0070628D">
      <w:r>
        <w:t xml:space="preserve">Izvješće o EU sredstvima </w:t>
      </w:r>
      <w:proofErr w:type="spellStart"/>
      <w:r>
        <w:t>na</w:t>
      </w:r>
      <w:r>
        <w:rPr>
          <w:b/>
        </w:rPr>
        <w:t>izvoru</w:t>
      </w:r>
      <w:proofErr w:type="spellEnd"/>
      <w:r>
        <w:rPr>
          <w:b/>
        </w:rPr>
        <w:t xml:space="preserve"> 510</w:t>
      </w:r>
      <w:r>
        <w:t xml:space="preserve">sadrži podatke o </w:t>
      </w:r>
      <w:proofErr w:type="spellStart"/>
      <w:r>
        <w:t>Erasmus</w:t>
      </w:r>
      <w:proofErr w:type="spellEnd"/>
      <w:r>
        <w:t xml:space="preserve">+ projektu koji je započeo ove godine i završava sljedeće godine, kao i projekte iz prethodnih godina. Ovogodišnji projekt u ukupnom iznosu od 52.145,00 € evidentiran je u </w:t>
      </w:r>
      <w:proofErr w:type="spellStart"/>
      <w:r>
        <w:t>izvanbilan</w:t>
      </w:r>
      <w:r>
        <w:t>čnim</w:t>
      </w:r>
      <w:proofErr w:type="spellEnd"/>
      <w:r>
        <w:t xml:space="preserve"> evidencijama 991/996. Prenesena sredstva u iznosu od 41.716,00 € evidentirana su na računu 27521. Utrošena sredstva u iznosu od 36.808,00 € evidentirana su za stručno usavršavanje - </w:t>
      </w:r>
      <w:proofErr w:type="spellStart"/>
      <w:r>
        <w:t>Erasmus</w:t>
      </w:r>
      <w:proofErr w:type="spellEnd"/>
      <w:r>
        <w:t>+ putovanja i za troškove poslovnih putovanja za obrazovanje v</w:t>
      </w:r>
      <w:r>
        <w:t xml:space="preserve">ezano uz </w:t>
      </w:r>
      <w:proofErr w:type="spellStart"/>
      <w:r>
        <w:t>Erasmus</w:t>
      </w:r>
      <w:proofErr w:type="spellEnd"/>
      <w:r>
        <w:t xml:space="preserve">+ projekte u iznosu od 38,94 €. Ukupno 36.846,94 €. Na kraju godine ovaj iznos evidentiran je na 16381/96381. Primljen je iznos za prošle </w:t>
      </w:r>
      <w:proofErr w:type="spellStart"/>
      <w:r>
        <w:t>Erasmus</w:t>
      </w:r>
      <w:proofErr w:type="spellEnd"/>
      <w:r>
        <w:t>+ projekte u iznosu od 9.179,05 € i knjižen na broj 63811. Troškovi za stručno usavršavanje 5.1</w:t>
      </w:r>
      <w:r>
        <w:t xml:space="preserve">44,80 €, poslovna putovanja 178,00 €, pametna ploča 2.779,80 € i kabeli za ploču 93,90 €. Izvješće o EU sredstvima na </w:t>
      </w:r>
      <w:r>
        <w:rPr>
          <w:b/>
        </w:rPr>
        <w:t>izvoru 561</w:t>
      </w:r>
      <w:r>
        <w:t xml:space="preserve"> odnose se na plaće i materijalna prava pomoćnika u nastavi prihod u iznosu 78.215,88 €, a rashod 84.677,20 € koji se financira </w:t>
      </w:r>
      <w:r>
        <w:t xml:space="preserve">iz tog izvora. Izvješće o EU sredstvima </w:t>
      </w:r>
      <w:r>
        <w:rPr>
          <w:b/>
        </w:rPr>
        <w:t xml:space="preserve">Nacionalno sufinanciranje </w:t>
      </w:r>
      <w:r>
        <w:t>odnose se na plaće i materijalna prava pomoćnika u nastavi prihod u iznosu 11.972,43 €, a rashod 13.112,66 € koji se financira iz tog izvora.</w:t>
      </w:r>
      <w:r>
        <w:t> </w:t>
      </w:r>
    </w:p>
    <w:p w:rsidR="0070628D" w:rsidRPr="0070628D" w:rsidRDefault="0070628D" w:rsidP="0070628D">
      <w:pPr>
        <w:rPr>
          <w:rFonts w:eastAsiaTheme="minorEastAsia" w:cstheme="minorBidi"/>
          <w:sz w:val="22"/>
          <w:szCs w:val="22"/>
        </w:rPr>
      </w:pPr>
      <w:r w:rsidRPr="0070628D">
        <w:rPr>
          <w:rFonts w:eastAsiaTheme="minorEastAsia" w:cstheme="minorBidi"/>
          <w:sz w:val="22"/>
          <w:szCs w:val="22"/>
        </w:rPr>
        <w:t>Osnovna škola Vladimira Nazora Daruvar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 i Okružnice Ministarstva financija  o sastavljanju i predaji financijskih izvještaj proračuna, proračunskih korisnika… za razdoblje od 1.1.2025. do 3</w:t>
      </w:r>
      <w:r>
        <w:rPr>
          <w:rFonts w:eastAsiaTheme="minorEastAsia" w:cstheme="minorBidi"/>
          <w:sz w:val="22"/>
          <w:szCs w:val="22"/>
        </w:rPr>
        <w:t>1</w:t>
      </w:r>
      <w:r w:rsidRPr="0070628D">
        <w:rPr>
          <w:rFonts w:eastAsiaTheme="minorEastAsia" w:cstheme="minorBidi"/>
          <w:sz w:val="22"/>
          <w:szCs w:val="22"/>
        </w:rPr>
        <w:t>.</w:t>
      </w:r>
      <w:r>
        <w:rPr>
          <w:rFonts w:eastAsiaTheme="minorEastAsia" w:cstheme="minorBidi"/>
          <w:sz w:val="22"/>
          <w:szCs w:val="22"/>
        </w:rPr>
        <w:t>12</w:t>
      </w:r>
      <w:r w:rsidRPr="0070628D">
        <w:rPr>
          <w:rFonts w:eastAsiaTheme="minorEastAsia" w:cstheme="minorBidi"/>
          <w:sz w:val="22"/>
          <w:szCs w:val="22"/>
        </w:rPr>
        <w:t>.2025., KLASA: 400-02/25-01/14 URBROJ: 513-</w:t>
      </w:r>
      <w:r>
        <w:rPr>
          <w:rFonts w:eastAsiaTheme="minorEastAsia" w:cstheme="minorBidi"/>
          <w:sz w:val="22"/>
          <w:szCs w:val="22"/>
        </w:rPr>
        <w:t>17</w:t>
      </w:r>
      <w:r w:rsidRPr="0070628D">
        <w:rPr>
          <w:rFonts w:eastAsiaTheme="minorEastAsia" w:cstheme="minorBidi"/>
          <w:sz w:val="22"/>
          <w:szCs w:val="22"/>
        </w:rPr>
        <w:t>-0</w:t>
      </w:r>
      <w:r>
        <w:rPr>
          <w:rFonts w:eastAsiaTheme="minorEastAsia" w:cstheme="minorBidi"/>
          <w:sz w:val="22"/>
          <w:szCs w:val="22"/>
        </w:rPr>
        <w:t>1</w:t>
      </w:r>
      <w:r w:rsidRPr="0070628D">
        <w:rPr>
          <w:rFonts w:eastAsiaTheme="minorEastAsia" w:cstheme="minorBidi"/>
          <w:sz w:val="22"/>
          <w:szCs w:val="22"/>
        </w:rPr>
        <w:t>-2</w:t>
      </w:r>
      <w:r>
        <w:rPr>
          <w:rFonts w:eastAsiaTheme="minorEastAsia" w:cstheme="minorBidi"/>
          <w:sz w:val="22"/>
          <w:szCs w:val="22"/>
        </w:rPr>
        <w:t>6</w:t>
      </w:r>
      <w:r w:rsidRPr="0070628D">
        <w:rPr>
          <w:rFonts w:eastAsiaTheme="minorEastAsia" w:cstheme="minorBidi"/>
          <w:sz w:val="22"/>
          <w:szCs w:val="22"/>
        </w:rPr>
        <w:t>-</w:t>
      </w:r>
      <w:r>
        <w:rPr>
          <w:rFonts w:eastAsiaTheme="minorEastAsia" w:cstheme="minorBidi"/>
          <w:sz w:val="22"/>
          <w:szCs w:val="22"/>
        </w:rPr>
        <w:t>5</w:t>
      </w:r>
      <w:r w:rsidRPr="0070628D">
        <w:rPr>
          <w:rFonts w:eastAsiaTheme="minorEastAsia" w:cstheme="minorBidi"/>
          <w:sz w:val="22"/>
          <w:szCs w:val="22"/>
        </w:rPr>
        <w:t xml:space="preserve"> Zagreb, </w:t>
      </w:r>
      <w:r>
        <w:rPr>
          <w:rFonts w:eastAsiaTheme="minorEastAsia" w:cstheme="minorBidi"/>
          <w:sz w:val="22"/>
          <w:szCs w:val="22"/>
        </w:rPr>
        <w:t>16</w:t>
      </w:r>
      <w:r w:rsidRPr="0070628D">
        <w:rPr>
          <w:rFonts w:eastAsiaTheme="minorEastAsia" w:cstheme="minorBidi"/>
          <w:sz w:val="22"/>
          <w:szCs w:val="22"/>
        </w:rPr>
        <w:t>. s</w:t>
      </w:r>
      <w:r>
        <w:rPr>
          <w:rFonts w:eastAsiaTheme="minorEastAsia" w:cstheme="minorBidi"/>
          <w:sz w:val="22"/>
          <w:szCs w:val="22"/>
        </w:rPr>
        <w:t>iječnja</w:t>
      </w:r>
      <w:r w:rsidRPr="0070628D">
        <w:rPr>
          <w:rFonts w:eastAsiaTheme="minorEastAsia" w:cstheme="minorBidi"/>
          <w:sz w:val="22"/>
          <w:szCs w:val="22"/>
        </w:rPr>
        <w:t xml:space="preserve"> 202</w:t>
      </w:r>
      <w:r>
        <w:rPr>
          <w:rFonts w:eastAsiaTheme="minorEastAsia" w:cstheme="minorBidi"/>
          <w:sz w:val="22"/>
          <w:szCs w:val="22"/>
        </w:rPr>
        <w:t>6</w:t>
      </w:r>
      <w:r w:rsidRPr="0070628D">
        <w:rPr>
          <w:rFonts w:eastAsiaTheme="minorEastAsia" w:cstheme="minorBidi"/>
          <w:sz w:val="22"/>
          <w:szCs w:val="22"/>
        </w:rPr>
        <w:t>. Škola nije u sustavu PDV-a. Zakonski predstavnik škole je ravnateljica Kornelija Častek, dipl.def.-</w:t>
      </w:r>
      <w:proofErr w:type="spellStart"/>
      <w:r w:rsidRPr="0070628D">
        <w:rPr>
          <w:rFonts w:eastAsiaTheme="minorEastAsia" w:cstheme="minorBidi"/>
          <w:sz w:val="22"/>
          <w:szCs w:val="22"/>
        </w:rPr>
        <w:t>soc.ped</w:t>
      </w:r>
      <w:proofErr w:type="spellEnd"/>
      <w:r w:rsidRPr="0070628D">
        <w:rPr>
          <w:rFonts w:eastAsiaTheme="minorEastAsia" w:cstheme="minorBidi"/>
          <w:sz w:val="22"/>
          <w:szCs w:val="22"/>
        </w:rPr>
        <w:t>.</w:t>
      </w:r>
    </w:p>
    <w:p w:rsidR="0070628D" w:rsidRPr="0070628D" w:rsidRDefault="0070628D" w:rsidP="0070628D">
      <w:pPr>
        <w:rPr>
          <w:rFonts w:eastAsiaTheme="minorEastAsia" w:cstheme="minorBidi"/>
          <w:sz w:val="22"/>
          <w:szCs w:val="22"/>
        </w:rPr>
      </w:pPr>
      <w:r w:rsidRPr="0070628D">
        <w:rPr>
          <w:rFonts w:eastAsiaTheme="minorEastAsia" w:cstheme="minorBidi"/>
          <w:sz w:val="22"/>
          <w:szCs w:val="22"/>
        </w:rPr>
        <w:t xml:space="preserve">             U Osnovnoj školi Vladimira Nazora Daruvar dana 3</w:t>
      </w:r>
      <w:r>
        <w:rPr>
          <w:rFonts w:eastAsiaTheme="minorEastAsia" w:cstheme="minorBidi"/>
          <w:sz w:val="22"/>
          <w:szCs w:val="22"/>
        </w:rPr>
        <w:t>1</w:t>
      </w:r>
      <w:r w:rsidRPr="0070628D">
        <w:rPr>
          <w:rFonts w:eastAsiaTheme="minorEastAsia" w:cstheme="minorBidi"/>
          <w:sz w:val="22"/>
          <w:szCs w:val="22"/>
        </w:rPr>
        <w:t>.</w:t>
      </w:r>
      <w:r>
        <w:rPr>
          <w:rFonts w:eastAsiaTheme="minorEastAsia" w:cstheme="minorBidi"/>
          <w:sz w:val="22"/>
          <w:szCs w:val="22"/>
        </w:rPr>
        <w:t>12</w:t>
      </w:r>
      <w:r w:rsidRPr="0070628D">
        <w:rPr>
          <w:rFonts w:eastAsiaTheme="minorEastAsia" w:cstheme="minorBidi"/>
          <w:sz w:val="22"/>
          <w:szCs w:val="22"/>
        </w:rPr>
        <w:t>.2025. godine zaposleno je 10</w:t>
      </w:r>
      <w:r>
        <w:rPr>
          <w:rFonts w:eastAsiaTheme="minorEastAsia" w:cstheme="minorBidi"/>
          <w:sz w:val="22"/>
          <w:szCs w:val="22"/>
        </w:rPr>
        <w:t>5</w:t>
      </w:r>
      <w:r w:rsidRPr="0070628D">
        <w:rPr>
          <w:rFonts w:eastAsiaTheme="minorEastAsia" w:cstheme="minorBidi"/>
          <w:sz w:val="22"/>
          <w:szCs w:val="22"/>
        </w:rPr>
        <w:t xml:space="preserve"> radnika. Matična škola nalazi se u Gajevoj 24 i Područna škola u </w:t>
      </w:r>
      <w:proofErr w:type="spellStart"/>
      <w:r w:rsidRPr="0070628D">
        <w:rPr>
          <w:rFonts w:eastAsiaTheme="minorEastAsia" w:cstheme="minorBidi"/>
          <w:sz w:val="22"/>
          <w:szCs w:val="22"/>
        </w:rPr>
        <w:t>Frankopanskoj</w:t>
      </w:r>
      <w:proofErr w:type="spellEnd"/>
      <w:r w:rsidRPr="0070628D">
        <w:rPr>
          <w:rFonts w:eastAsiaTheme="minorEastAsia" w:cstheme="minorBidi"/>
          <w:sz w:val="22"/>
          <w:szCs w:val="22"/>
        </w:rPr>
        <w:t xml:space="preserve"> 80 u Daruvaru, razredni odjeli od I. do VIII. razreda u obje škole. Škola ima 5 Područnih škola. Sveukupno 38 razrednih odjela i 572 učenika.</w:t>
      </w:r>
    </w:p>
    <w:p w:rsidR="0070628D" w:rsidRPr="0070628D" w:rsidRDefault="0070628D" w:rsidP="0070628D">
      <w:pPr>
        <w:rPr>
          <w:rFonts w:eastAsiaTheme="minorEastAsia" w:cstheme="minorBidi"/>
          <w:sz w:val="22"/>
          <w:szCs w:val="22"/>
        </w:rPr>
      </w:pPr>
      <w:r w:rsidRPr="0070628D">
        <w:rPr>
          <w:rFonts w:eastAsiaTheme="minorEastAsia" w:cstheme="minorBidi"/>
          <w:sz w:val="22"/>
          <w:szCs w:val="22"/>
        </w:rPr>
        <w:t xml:space="preserve">Osoba odgovorna za računovodstvo                                             ZAKONSKI PREDSTAVNIK  </w:t>
      </w:r>
    </w:p>
    <w:p w:rsidR="0070628D" w:rsidRPr="0070628D" w:rsidRDefault="0070628D" w:rsidP="0070628D">
      <w:pPr>
        <w:rPr>
          <w:rFonts w:eastAsiaTheme="minorEastAsia" w:cstheme="minorBidi"/>
          <w:sz w:val="22"/>
          <w:szCs w:val="22"/>
        </w:rPr>
      </w:pPr>
      <w:r w:rsidRPr="0070628D">
        <w:rPr>
          <w:rFonts w:eastAsiaTheme="minorEastAsia" w:cstheme="minorBidi"/>
          <w:sz w:val="22"/>
          <w:szCs w:val="22"/>
        </w:rPr>
        <w:t>_____________________________                                        _____________________________</w:t>
      </w:r>
    </w:p>
    <w:p w:rsidR="0070628D" w:rsidRDefault="0070628D" w:rsidP="0070628D">
      <w:pPr>
        <w:rPr>
          <w:rFonts w:eastAsiaTheme="minorEastAsia" w:cstheme="minorBidi"/>
          <w:sz w:val="22"/>
          <w:szCs w:val="22"/>
        </w:rPr>
      </w:pPr>
      <w:r w:rsidRPr="0070628D">
        <w:rPr>
          <w:rFonts w:eastAsiaTheme="minorEastAsia" w:cstheme="minorBidi"/>
          <w:sz w:val="22"/>
          <w:szCs w:val="22"/>
        </w:rPr>
        <w:t xml:space="preserve">                 Sandra Langer                                                          Kornelija Častek, dipl.def.-</w:t>
      </w:r>
      <w:proofErr w:type="spellStart"/>
      <w:r w:rsidRPr="0070628D">
        <w:rPr>
          <w:rFonts w:eastAsiaTheme="minorEastAsia" w:cstheme="minorBidi"/>
          <w:sz w:val="22"/>
          <w:szCs w:val="22"/>
        </w:rPr>
        <w:t>soc.ped</w:t>
      </w:r>
      <w:proofErr w:type="spellEnd"/>
      <w:r w:rsidRPr="0070628D">
        <w:rPr>
          <w:rFonts w:eastAsiaTheme="minorEastAsia" w:cstheme="minorBidi"/>
          <w:sz w:val="22"/>
          <w:szCs w:val="22"/>
        </w:rPr>
        <w:t>.</w:t>
      </w:r>
    </w:p>
    <w:p w:rsidR="00183893" w:rsidRDefault="0070628D">
      <w:r>
        <w:rPr>
          <w:rFonts w:eastAsiaTheme="minorEastAsia" w:cstheme="minorBidi"/>
          <w:sz w:val="22"/>
          <w:szCs w:val="22"/>
        </w:rPr>
        <w:t>U Daruvaru, 2</w:t>
      </w:r>
      <w:r w:rsidRPr="0070628D">
        <w:rPr>
          <w:rFonts w:eastAsiaTheme="minorEastAsia" w:cstheme="minorBidi"/>
          <w:sz w:val="22"/>
          <w:szCs w:val="22"/>
        </w:rPr>
        <w:t xml:space="preserve">. </w:t>
      </w:r>
      <w:r>
        <w:rPr>
          <w:rFonts w:eastAsiaTheme="minorEastAsia" w:cstheme="minorBidi"/>
          <w:sz w:val="22"/>
          <w:szCs w:val="22"/>
        </w:rPr>
        <w:t>veljače</w:t>
      </w:r>
      <w:r w:rsidRPr="0070628D">
        <w:rPr>
          <w:rFonts w:eastAsiaTheme="minorEastAsia" w:cstheme="minorBidi"/>
          <w:sz w:val="22"/>
          <w:szCs w:val="22"/>
        </w:rPr>
        <w:t xml:space="preserve"> 202</w:t>
      </w:r>
      <w:r>
        <w:rPr>
          <w:rFonts w:eastAsiaTheme="minorEastAsia" w:cstheme="minorBidi"/>
          <w:sz w:val="22"/>
          <w:szCs w:val="22"/>
        </w:rPr>
        <w:t>6</w:t>
      </w:r>
      <w:r w:rsidRPr="0070628D">
        <w:rPr>
          <w:rFonts w:eastAsiaTheme="minorEastAsia" w:cstheme="minorBidi"/>
          <w:sz w:val="22"/>
          <w:szCs w:val="22"/>
        </w:rPr>
        <w:t>.</w:t>
      </w:r>
      <w:bookmarkStart w:id="0" w:name="_GoBack"/>
      <w:bookmarkEnd w:id="0"/>
    </w:p>
    <w:sectPr w:rsidR="00183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893"/>
    <w:rsid w:val="00183893"/>
    <w:rsid w:val="0070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B517"/>
  <w15:docId w15:val="{4C79CEB2-3DEA-480B-BAB0-4B530C91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2660</Words>
  <Characters>15167</Characters>
  <Application>Microsoft Office Word</Application>
  <DocSecurity>0</DocSecurity>
  <Lines>126</Lines>
  <Paragraphs>35</Paragraphs>
  <ScaleCrop>false</ScaleCrop>
  <Company/>
  <LinksUpToDate>false</LinksUpToDate>
  <CharactersWithSpaces>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Langer</cp:lastModifiedBy>
  <cp:revision>2</cp:revision>
  <dcterms:created xsi:type="dcterms:W3CDTF">2026-02-02T12:03:00Z</dcterms:created>
  <dcterms:modified xsi:type="dcterms:W3CDTF">2026-02-02T12:08:00Z</dcterms:modified>
</cp:coreProperties>
</file>